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B0074" w14:textId="55A1FF53" w:rsidR="00315997" w:rsidRPr="00935621" w:rsidRDefault="00000000">
      <w:pPr>
        <w:pStyle w:val="NormalWeb"/>
        <w:jc w:val="both"/>
        <w:rPr>
          <w:rFonts w:ascii="Calibri Light" w:hAnsi="Calibri Light" w:cs="Calibri Light"/>
          <w:sz w:val="20"/>
          <w:szCs w:val="20"/>
          <w:lang w:val="es-CO"/>
        </w:rPr>
      </w:pPr>
      <w:r w:rsidRPr="00935621">
        <w:rPr>
          <w:rFonts w:ascii="Calibri Light" w:hAnsi="Calibri Light" w:cs="Calibri Light"/>
          <w:sz w:val="20"/>
          <w:szCs w:val="20"/>
          <w:lang w:val="es-CO"/>
        </w:rPr>
        <w:t>Posteriormente, se convocó el Comité Fiduciario Virtual No. 02 del Patrimonio Autónomo Findeter – MinInterior Banco de Proyectos 4.0, el cual fue programado para desarrollarse entre el viernes 19 de diciembre de 2025 a las 12:00 p. m. y el lunes 22 de diciembre de 2025 a las 5:00 p. m., con participación de los miembros de FINDETER y del Ministerio del Interior con derecho a voto mediante correo electrónico. La sesión se desarrolló como una continuación de las decisiones y lineamientos previamente aprobados en el Comité Fiduciario No. 01, especialmente en lo relacionado con la implementación operativa y administrativa del patrimonio autónomo y la ejecución de los convenios solidarios derivados del Contrato Interadministrativo 1773 de 2025</w:t>
      </w:r>
      <w:r w:rsidR="00307593">
        <w:rPr>
          <w:rFonts w:ascii="Calibri Light" w:hAnsi="Calibri Light" w:cs="Calibri Light"/>
          <w:sz w:val="20"/>
          <w:szCs w:val="20"/>
          <w:lang w:val="es-CO"/>
        </w:rPr>
        <w:t>.</w:t>
      </w:r>
    </w:p>
    <w:p w14:paraId="391D3DC7" w14:textId="77777777" w:rsidR="00315997" w:rsidRPr="00935621" w:rsidRDefault="00000000">
      <w:pPr>
        <w:pStyle w:val="NormalWeb"/>
        <w:jc w:val="both"/>
        <w:rPr>
          <w:rFonts w:ascii="Calibri Light" w:hAnsi="Calibri Light" w:cs="Calibri Light"/>
          <w:sz w:val="20"/>
          <w:szCs w:val="20"/>
          <w:lang w:val="es-CO"/>
        </w:rPr>
      </w:pPr>
      <w:r w:rsidRPr="00935621">
        <w:rPr>
          <w:rFonts w:ascii="Calibri Light" w:hAnsi="Calibri Light" w:cs="Calibri Light"/>
          <w:sz w:val="20"/>
          <w:szCs w:val="20"/>
          <w:lang w:val="es-CO"/>
        </w:rPr>
        <w:t>Durante la sesión se verificó el quórum y se presentó a consideración del Comité una agenda enfocada principalmente en la aprobación de múltiples procesos de contratación directa requeridos para fortalecer la capacidad técnica, administrativa, jurídica y social del equipo encargado de la ejecución y seguimiento de los convenios solidarios. En ese sentido, se sometió a revisión y aprobación la recomendación de adjudicación de contratos de prestación de servicios profesionales y de apoyo a la gestión para distintos perfiles técnicos y operativos.</w:t>
      </w:r>
    </w:p>
    <w:p w14:paraId="31D7DAC1" w14:textId="77777777" w:rsidR="00315997" w:rsidRPr="00935621" w:rsidRDefault="00000000">
      <w:pPr>
        <w:pStyle w:val="NormalWeb"/>
        <w:jc w:val="both"/>
        <w:rPr>
          <w:rFonts w:ascii="Calibri Light" w:hAnsi="Calibri Light" w:cs="Calibri Light"/>
          <w:sz w:val="20"/>
          <w:szCs w:val="20"/>
          <w:lang w:val="es-CO"/>
        </w:rPr>
      </w:pPr>
      <w:r w:rsidRPr="00935621">
        <w:rPr>
          <w:rFonts w:ascii="Calibri Light" w:hAnsi="Calibri Light" w:cs="Calibri Light"/>
          <w:sz w:val="20"/>
          <w:szCs w:val="20"/>
          <w:lang w:val="es-CO"/>
        </w:rPr>
        <w:t>En materia de supervisión de convenios solidarios, el Comité evaluó y aprobó las recomendaciones de contratación directa para profesionales encargados de ejercer la supervisión en la ejecución de los convenios derivados del Contrato Interadministrativo 1773 de 2025. Dentro de estos procesos se incluyeron las postulaciones de Rafael Antonio Gómez Arellana, Hernando Stiven Monterroza Mercado, Alejandra Ibáñez Torres, Ángel Mario Reales Moreno, Jaime Eduardo Martínez González y José David Rodríguez Olmos, quienes fueron vinculados para apoyar las labores de supervisión y seguimiento contractual en diferentes regiones y componentes de ejecución.</w:t>
      </w:r>
    </w:p>
    <w:p w14:paraId="40EFE153" w14:textId="77777777" w:rsidR="00315997" w:rsidRPr="00935621" w:rsidRDefault="00000000">
      <w:pPr>
        <w:pStyle w:val="NormalWeb"/>
        <w:jc w:val="both"/>
        <w:rPr>
          <w:rFonts w:ascii="Calibri Light" w:hAnsi="Calibri Light" w:cs="Calibri Light"/>
          <w:sz w:val="20"/>
          <w:szCs w:val="20"/>
          <w:lang w:val="es-CO"/>
        </w:rPr>
      </w:pPr>
      <w:r w:rsidRPr="00935621">
        <w:rPr>
          <w:rFonts w:ascii="Calibri Light" w:hAnsi="Calibri Light" w:cs="Calibri Light"/>
          <w:sz w:val="20"/>
          <w:szCs w:val="20"/>
          <w:lang w:val="es-CO"/>
        </w:rPr>
        <w:t>De igual manera, se revisaron y aprobaron contrataciones orientadas al fortalecimiento administrativo y operativo del patrimonio autónomo, entre ellas las correspondientes a Karen Tatiana Hernández Castillo y Fabián Alberto Vidal Roa, para brindar apoyo a la gestión administrativa en la ejecución de los convenios solidarios. Estas contrataciones estuvieron encaminadas a respaldar los procesos documentales, operativos y de soporte requeridos para el adecuado desarrollo de las actividades derivadas del contrato interadministrativo.</w:t>
      </w:r>
    </w:p>
    <w:p w14:paraId="4DA4045E" w14:textId="77777777" w:rsidR="00315997" w:rsidRPr="00935621" w:rsidRDefault="00000000">
      <w:pPr>
        <w:pStyle w:val="NormalWeb"/>
        <w:jc w:val="both"/>
        <w:rPr>
          <w:rFonts w:ascii="Calibri Light" w:hAnsi="Calibri Light" w:cs="Calibri Light"/>
          <w:sz w:val="20"/>
          <w:szCs w:val="20"/>
          <w:lang w:val="es-CO"/>
        </w:rPr>
      </w:pPr>
      <w:r w:rsidRPr="00935621">
        <w:rPr>
          <w:rFonts w:ascii="Calibri Light" w:hAnsi="Calibri Light" w:cs="Calibri Light"/>
          <w:sz w:val="20"/>
          <w:szCs w:val="20"/>
          <w:lang w:val="es-CO"/>
        </w:rPr>
        <w:t>En el componente social, el Comité analizó y aprobó la contratación de Beatriz Elena Patiño Acevedo y Norida Yazmín Rodríguez Quimbayo, quienes tendrían a cargo actividades de apoyo profesional relacionadas con el fortalecimiento social y el acompañamiento a la ejecución de los convenios solidarios. Estas vinculaciones buscaron reforzar el componente territorial y comunitario de los proyectos, en concordancia con el enfoque participativo y social del programa.</w:t>
      </w:r>
    </w:p>
    <w:p w14:paraId="28487479" w14:textId="77777777" w:rsidR="00315997" w:rsidRPr="00935621" w:rsidRDefault="00000000">
      <w:pPr>
        <w:pStyle w:val="NormalWeb"/>
        <w:jc w:val="both"/>
        <w:rPr>
          <w:rFonts w:ascii="Calibri Light" w:hAnsi="Calibri Light" w:cs="Calibri Light"/>
          <w:sz w:val="20"/>
          <w:szCs w:val="20"/>
          <w:lang w:val="es-CO"/>
        </w:rPr>
      </w:pPr>
      <w:r w:rsidRPr="00935621">
        <w:rPr>
          <w:rFonts w:ascii="Calibri Light" w:hAnsi="Calibri Light" w:cs="Calibri Light"/>
          <w:sz w:val="20"/>
          <w:szCs w:val="20"/>
          <w:lang w:val="es-CO"/>
        </w:rPr>
        <w:t>Asimismo, fueron revisadas y aprobadas varias contrataciones relacionadas con asesoría y acompañamiento jurídico, entre ellas las correspondientes a Francisco Guillermo Berdugo Rodríguez, Víctor Manuel Jiménez Hernández, Vadir Sain Aduen Ricardo y Castor de Jesús Benítez Narváez, quienes prestarían servicios profesionales de apoyo jurídico en la ejecución de los convenios solidarios. Estas contrataciones estuvieron dirigidas a fortalecer la revisión legal, el acompañamiento contractual y el seguimiento normativo de los procesos adelantados en el marco del patrimonio autónomo.</w:t>
      </w:r>
    </w:p>
    <w:p w14:paraId="7EA91620" w14:textId="77777777" w:rsidR="00315997" w:rsidRPr="00935621" w:rsidRDefault="00000000">
      <w:pPr>
        <w:pStyle w:val="NormalWeb"/>
        <w:jc w:val="both"/>
        <w:rPr>
          <w:rFonts w:ascii="Calibri Light" w:hAnsi="Calibri Light" w:cs="Calibri Light"/>
          <w:sz w:val="20"/>
          <w:szCs w:val="20"/>
          <w:lang w:val="es-CO"/>
        </w:rPr>
      </w:pPr>
      <w:r w:rsidRPr="00935621">
        <w:rPr>
          <w:rFonts w:ascii="Calibri Light" w:hAnsi="Calibri Light" w:cs="Calibri Light"/>
          <w:sz w:val="20"/>
          <w:szCs w:val="20"/>
          <w:lang w:val="es-CO"/>
        </w:rPr>
        <w:t>El Comité también estudió la contratación de Oscar Darío Durán Plata para prestar servicios profesionales orientados al seguimiento, control, asesoría y apoyo técnico de los convenios solidarios, así como la contratación de Giovany José Niño Hernández para brindar apoyo regional a la supervisión de dichos convenios. Adicionalmente, se aprobó la contratación de Carlos Julián Molano Muñoz para desarrollar actividades relacionadas con diseño gráfico, elaboración de piezas visuales e identidad corporativa asociada a los convenios solidarios derivados del Contrato Interadministrativo 1773 de 2025.</w:t>
      </w:r>
    </w:p>
    <w:p w14:paraId="37C2D777" w14:textId="77777777" w:rsidR="00315997" w:rsidRPr="00935621" w:rsidRDefault="00000000">
      <w:pPr>
        <w:pStyle w:val="NormalWeb"/>
        <w:jc w:val="both"/>
        <w:rPr>
          <w:rFonts w:ascii="Calibri Light" w:hAnsi="Calibri Light" w:cs="Calibri Light"/>
          <w:sz w:val="20"/>
          <w:szCs w:val="20"/>
          <w:lang w:val="es-CO"/>
        </w:rPr>
      </w:pPr>
      <w:r w:rsidRPr="00935621">
        <w:rPr>
          <w:rFonts w:ascii="Calibri Light" w:hAnsi="Calibri Light" w:cs="Calibri Light"/>
          <w:sz w:val="20"/>
          <w:szCs w:val="20"/>
          <w:lang w:val="es-CO"/>
        </w:rPr>
        <w:lastRenderedPageBreak/>
        <w:t>Durante la sesión igualmente se dejó constancia de que, debido a la cuantía de los procesos contractuales presentados, los estudios previos y verificaciones correspondientes no requirieron ser sometidos a consideración del Comité de Contratación, conforme a lo dispuesto en la Circular Interna del 12 de marzo de 2025.</w:t>
      </w:r>
    </w:p>
    <w:p w14:paraId="48D0C43A" w14:textId="77777777" w:rsidR="00315997" w:rsidRPr="00935621" w:rsidRDefault="00000000">
      <w:pPr>
        <w:pStyle w:val="NormalWeb"/>
        <w:jc w:val="both"/>
        <w:rPr>
          <w:rFonts w:ascii="Calibri Light" w:hAnsi="Calibri Light" w:cs="Calibri Light"/>
          <w:sz w:val="20"/>
          <w:szCs w:val="20"/>
          <w:lang w:val="es-CO"/>
        </w:rPr>
      </w:pPr>
      <w:r w:rsidRPr="00935621">
        <w:rPr>
          <w:rFonts w:ascii="Calibri Light" w:hAnsi="Calibri Light" w:cs="Calibri Light"/>
          <w:sz w:val="20"/>
          <w:szCs w:val="20"/>
          <w:lang w:val="es-CO"/>
        </w:rPr>
        <w:t>Concluido el proceso de revisión y votación, los miembros del Comité Fiduciario con derecho a voto aprobaron las recomendaciones de contratación directa puestas a consideración, permitiendo así avanzar en la consolidación del equipo técnico, jurídico, administrativo y social requerido para la implementación, seguimiento y fortalecimiento operativo de los convenios solidarios ejecutados a través del Patrimonio Autónomo Findeter – MinInterior Banco de Proyectos 4.0.</w:t>
      </w:r>
    </w:p>
    <w:p w14:paraId="0C04B04D" w14:textId="77777777" w:rsidR="00315997" w:rsidRDefault="00315997">
      <w:pPr>
        <w:rPr>
          <w:lang w:val="es-ES"/>
        </w:rPr>
      </w:pPr>
    </w:p>
    <w:sectPr w:rsidR="00315997">
      <w:headerReference w:type="default" r:id="rId6"/>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1F49A" w14:textId="77777777" w:rsidR="00020A98" w:rsidRDefault="00020A98">
      <w:r>
        <w:separator/>
      </w:r>
    </w:p>
  </w:endnote>
  <w:endnote w:type="continuationSeparator" w:id="0">
    <w:p w14:paraId="50019021" w14:textId="77777777" w:rsidR="00020A98" w:rsidRDefault="0002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7828D" w14:textId="77777777" w:rsidR="00020A98" w:rsidRDefault="00020A98">
      <w:r>
        <w:separator/>
      </w:r>
    </w:p>
  </w:footnote>
  <w:footnote w:type="continuationSeparator" w:id="0">
    <w:p w14:paraId="068315EB" w14:textId="77777777" w:rsidR="00020A98" w:rsidRDefault="00020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horzAnchor="page" w:tblpX="1147" w:tblpY="-2"/>
      <w:tblOverlap w:val="never"/>
      <w:tblW w:w="10050"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938"/>
      <w:gridCol w:w="8112"/>
    </w:tblGrid>
    <w:tr w:rsidR="00315997" w14:paraId="3F08F8E4" w14:textId="77777777">
      <w:trPr>
        <w:trHeight w:val="690"/>
      </w:trPr>
      <w:tc>
        <w:tcPr>
          <w:tcW w:w="1938" w:type="dxa"/>
          <w:tcBorders>
            <w:top w:val="dotted" w:sz="12" w:space="0" w:color="auto"/>
            <w:left w:val="dotted" w:sz="12" w:space="0" w:color="auto"/>
            <w:bottom w:val="dotted" w:sz="12" w:space="0" w:color="auto"/>
            <w:right w:val="dotted" w:sz="12" w:space="0" w:color="auto"/>
          </w:tcBorders>
          <w:shd w:val="clear" w:color="auto" w:fill="FFFFFF"/>
          <w:vAlign w:val="center"/>
        </w:tcPr>
        <w:p w14:paraId="546C73F1" w14:textId="77777777" w:rsidR="00315997" w:rsidRDefault="00000000">
          <w:pPr>
            <w:jc w:val="center"/>
            <w:rPr>
              <w:b/>
              <w:color w:val="000000"/>
            </w:rPr>
          </w:pPr>
          <w:r>
            <w:rPr>
              <w:noProof/>
            </w:rPr>
            <w:drawing>
              <wp:anchor distT="0" distB="0" distL="114300" distR="114300" simplePos="0" relativeHeight="251659264" behindDoc="0" locked="0" layoutInCell="1" allowOverlap="1" wp14:anchorId="04662CEA" wp14:editId="5ED5BA6A">
                <wp:simplePos x="0" y="0"/>
                <wp:positionH relativeFrom="column">
                  <wp:posOffset>104775</wp:posOffset>
                </wp:positionH>
                <wp:positionV relativeFrom="paragraph">
                  <wp:posOffset>-46355</wp:posOffset>
                </wp:positionV>
                <wp:extent cx="918845" cy="763270"/>
                <wp:effectExtent l="0" t="0" r="14605" b="17780"/>
                <wp:wrapNone/>
                <wp:docPr id="171203311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033116" name="drawing"/>
                        <pic:cNvPicPr>
                          <a:picLocks noChangeAspect="1"/>
                        </pic:cNvPicPr>
                      </pic:nvPicPr>
                      <pic:blipFill>
                        <a:blip r:embed="rId1"/>
                        <a:stretch>
                          <a:fillRect/>
                        </a:stretch>
                      </pic:blipFill>
                      <pic:spPr>
                        <a:xfrm>
                          <a:off x="0" y="0"/>
                          <a:ext cx="918845" cy="763270"/>
                        </a:xfrm>
                        <a:prstGeom prst="rect">
                          <a:avLst/>
                        </a:prstGeom>
                      </pic:spPr>
                    </pic:pic>
                  </a:graphicData>
                </a:graphic>
              </wp:anchor>
            </w:drawing>
          </w:r>
        </w:p>
        <w:p w14:paraId="5FA8CE93" w14:textId="77777777" w:rsidR="00315997" w:rsidRDefault="00315997">
          <w:pPr>
            <w:jc w:val="center"/>
            <w:rPr>
              <w:rFonts w:ascii="Arial" w:eastAsia="Arial" w:hAnsi="Arial" w:cs="Arial"/>
              <w:b/>
              <w:color w:val="000000"/>
              <w:sz w:val="18"/>
              <w:szCs w:val="18"/>
            </w:rPr>
          </w:pPr>
        </w:p>
      </w:tc>
      <w:tc>
        <w:tcPr>
          <w:tcW w:w="8112" w:type="dxa"/>
          <w:tcBorders>
            <w:top w:val="dotted" w:sz="12" w:space="0" w:color="auto"/>
            <w:left w:val="dotted" w:sz="12" w:space="0" w:color="auto"/>
            <w:bottom w:val="dotted" w:sz="12" w:space="0" w:color="auto"/>
            <w:right w:val="dotted" w:sz="12" w:space="0" w:color="auto"/>
          </w:tcBorders>
          <w:shd w:val="clear" w:color="auto" w:fill="FFFFFF"/>
          <w:vAlign w:val="center"/>
        </w:tcPr>
        <w:p w14:paraId="6A09B810" w14:textId="77777777" w:rsidR="00315997" w:rsidRDefault="00000000">
          <w:pPr>
            <w:jc w:val="center"/>
            <w:rPr>
              <w:rFonts w:ascii="Arial" w:eastAsia="Arial" w:hAnsi="Arial" w:cs="Arial"/>
              <w:b/>
              <w:color w:val="000000"/>
              <w:sz w:val="16"/>
              <w:szCs w:val="16"/>
              <w:lang w:val="es-ES"/>
            </w:rPr>
          </w:pPr>
          <w:bookmarkStart w:id="0" w:name="_heading=h.1x0gk37" w:colFirst="0" w:colLast="0"/>
          <w:bookmarkEnd w:id="0"/>
          <w:r>
            <w:rPr>
              <w:rFonts w:ascii="Arial" w:eastAsia="Arial" w:hAnsi="Arial" w:cs="Arial"/>
              <w:b/>
              <w:color w:val="000000"/>
              <w:sz w:val="16"/>
              <w:szCs w:val="16"/>
              <w:lang w:val="es-ES"/>
            </w:rPr>
            <w:t xml:space="preserve">RESUMEN </w:t>
          </w:r>
          <w:r w:rsidRPr="00935621">
            <w:rPr>
              <w:rFonts w:ascii="Arial" w:eastAsia="Arial" w:hAnsi="Arial" w:cs="Arial"/>
              <w:b/>
              <w:color w:val="000000"/>
              <w:sz w:val="16"/>
              <w:szCs w:val="16"/>
              <w:lang w:val="es-CO"/>
            </w:rPr>
            <w:t xml:space="preserve">COMITÉ FIDUCIARIO VIRTUAL No. </w:t>
          </w:r>
          <w:r>
            <w:rPr>
              <w:rFonts w:ascii="Arial" w:eastAsia="Arial" w:hAnsi="Arial" w:cs="Arial"/>
              <w:b/>
              <w:color w:val="000000"/>
              <w:sz w:val="16"/>
              <w:szCs w:val="16"/>
              <w:lang w:val="es-ES"/>
            </w:rPr>
            <w:t>2</w:t>
          </w:r>
        </w:p>
        <w:p w14:paraId="11E735C7" w14:textId="77777777" w:rsidR="00315997" w:rsidRPr="00935621" w:rsidRDefault="00000000">
          <w:pPr>
            <w:jc w:val="center"/>
            <w:rPr>
              <w:rFonts w:ascii="Arial" w:eastAsia="Arial" w:hAnsi="Arial" w:cs="Arial"/>
              <w:b/>
              <w:color w:val="000000"/>
              <w:sz w:val="16"/>
              <w:szCs w:val="16"/>
              <w:lang w:val="es-CO"/>
            </w:rPr>
          </w:pPr>
          <w:r w:rsidRPr="00935621">
            <w:rPr>
              <w:rFonts w:ascii="Arial" w:eastAsia="Arial" w:hAnsi="Arial" w:cs="Arial"/>
              <w:b/>
              <w:color w:val="000000"/>
              <w:sz w:val="16"/>
              <w:szCs w:val="16"/>
              <w:lang w:val="es-CO"/>
            </w:rPr>
            <w:t>PATRIMONIO AUTÓNOMO FINDETER MININTERIOR BANCO DE PROYECTOS 4.0. CONTRATO DE FIDUCIA MERCANTIL - 3-1-127578 DE 2025</w:t>
          </w:r>
        </w:p>
        <w:p w14:paraId="6E06BF59" w14:textId="77777777" w:rsidR="00315997" w:rsidRPr="00935621" w:rsidRDefault="00000000">
          <w:pPr>
            <w:jc w:val="center"/>
            <w:rPr>
              <w:rFonts w:ascii="Arial" w:eastAsia="Arial" w:hAnsi="Arial" w:cs="Arial"/>
              <w:b/>
              <w:color w:val="000000"/>
              <w:sz w:val="16"/>
              <w:szCs w:val="16"/>
              <w:lang w:val="es-CO"/>
            </w:rPr>
          </w:pPr>
          <w:r w:rsidRPr="00935621">
            <w:rPr>
              <w:rFonts w:ascii="Arial" w:eastAsia="Arial" w:hAnsi="Arial" w:cs="Arial"/>
              <w:b/>
              <w:color w:val="000000"/>
              <w:sz w:val="16"/>
              <w:szCs w:val="16"/>
              <w:lang w:val="es-CO"/>
            </w:rPr>
            <w:t xml:space="preserve">CONTRATO INTERADMINISTRATIVO NO. 1773 DE 2025  </w:t>
          </w:r>
        </w:p>
        <w:p w14:paraId="13E7B20B" w14:textId="77777777" w:rsidR="00315997" w:rsidRPr="00935621" w:rsidRDefault="00000000">
          <w:pPr>
            <w:tabs>
              <w:tab w:val="center" w:pos="4252"/>
              <w:tab w:val="right" w:pos="8504"/>
            </w:tabs>
            <w:spacing w:line="360" w:lineRule="auto"/>
            <w:jc w:val="right"/>
            <w:rPr>
              <w:rFonts w:ascii="Arial" w:eastAsia="Arial" w:hAnsi="Arial" w:cs="Arial"/>
              <w:b/>
              <w:color w:val="000000"/>
              <w:sz w:val="14"/>
              <w:szCs w:val="14"/>
              <w:lang w:val="es-CO"/>
            </w:rPr>
          </w:pPr>
          <w:r w:rsidRPr="00935621">
            <w:rPr>
              <w:rFonts w:ascii="Arial" w:eastAsia="Arial" w:hAnsi="Arial" w:cs="Arial"/>
              <w:b/>
              <w:color w:val="000000"/>
              <w:sz w:val="14"/>
              <w:szCs w:val="14"/>
              <w:lang w:val="es-CO"/>
            </w:rPr>
            <w:t xml:space="preserve">FECHA: </w:t>
          </w:r>
          <w:r>
            <w:rPr>
              <w:rFonts w:ascii="Arial" w:eastAsia="Arial" w:hAnsi="Arial" w:cs="Arial"/>
              <w:b/>
              <w:color w:val="000000"/>
              <w:sz w:val="14"/>
              <w:szCs w:val="14"/>
              <w:lang w:val="es-ES"/>
            </w:rPr>
            <w:t xml:space="preserve">19 DIC </w:t>
          </w:r>
          <w:r w:rsidRPr="00935621">
            <w:rPr>
              <w:rFonts w:ascii="Arial" w:eastAsia="Arial" w:hAnsi="Arial" w:cs="Arial"/>
              <w:b/>
              <w:color w:val="000000"/>
              <w:sz w:val="14"/>
              <w:szCs w:val="14"/>
              <w:lang w:val="es-CO"/>
            </w:rPr>
            <w:t>2025</w:t>
          </w:r>
          <w:r>
            <w:rPr>
              <w:rFonts w:ascii="Arial" w:eastAsia="Arial" w:hAnsi="Arial" w:cs="Arial"/>
              <w:b/>
              <w:color w:val="000000"/>
              <w:sz w:val="14"/>
              <w:szCs w:val="14"/>
              <w:lang w:val="es-ES"/>
            </w:rPr>
            <w:t xml:space="preserve"> - 22 DIC 2025</w:t>
          </w:r>
          <w:r w:rsidRPr="00935621">
            <w:rPr>
              <w:rFonts w:ascii="Arial" w:eastAsia="Arial" w:hAnsi="Arial" w:cs="Arial"/>
              <w:b/>
              <w:color w:val="000000"/>
              <w:sz w:val="14"/>
              <w:szCs w:val="14"/>
              <w:lang w:val="es-CO"/>
            </w:rPr>
            <w:t xml:space="preserve">  </w:t>
          </w:r>
        </w:p>
        <w:p w14:paraId="3AA61B73" w14:textId="77777777" w:rsidR="00315997" w:rsidRDefault="00000000">
          <w:pPr>
            <w:tabs>
              <w:tab w:val="center" w:pos="4252"/>
              <w:tab w:val="right" w:pos="8504"/>
            </w:tabs>
            <w:spacing w:line="360" w:lineRule="auto"/>
            <w:jc w:val="right"/>
            <w:rPr>
              <w:rFonts w:ascii="Arial" w:eastAsia="Arial" w:hAnsi="Arial" w:cs="Arial"/>
              <w:b/>
              <w:color w:val="000000"/>
              <w:sz w:val="14"/>
              <w:szCs w:val="14"/>
            </w:rPr>
          </w:pPr>
          <w:r>
            <w:rPr>
              <w:rFonts w:ascii="Arial" w:eastAsia="Arial" w:hAnsi="Arial" w:cs="Arial"/>
              <w:b/>
              <w:color w:val="000000"/>
              <w:sz w:val="14"/>
              <w:szCs w:val="14"/>
            </w:rPr>
            <w:t xml:space="preserve">VERSIÓN: 1 </w:t>
          </w:r>
        </w:p>
        <w:p w14:paraId="1177E13F" w14:textId="77777777" w:rsidR="00315997" w:rsidRDefault="00000000">
          <w:pPr>
            <w:tabs>
              <w:tab w:val="center" w:pos="4252"/>
              <w:tab w:val="right" w:pos="8504"/>
            </w:tabs>
            <w:spacing w:line="360" w:lineRule="auto"/>
            <w:jc w:val="right"/>
            <w:rPr>
              <w:rFonts w:ascii="Arial" w:eastAsia="Arial" w:hAnsi="Arial" w:cs="Arial"/>
              <w:color w:val="000000"/>
              <w:sz w:val="18"/>
              <w:szCs w:val="18"/>
            </w:rPr>
          </w:pPr>
          <w:r>
            <w:rPr>
              <w:rFonts w:ascii="Arial" w:eastAsia="Arial" w:hAnsi="Arial" w:cs="Arial"/>
              <w:b/>
              <w:color w:val="000000"/>
              <w:sz w:val="14"/>
              <w:szCs w:val="14"/>
            </w:rPr>
            <w:t xml:space="preserve">PÁGINA: </w:t>
          </w:r>
          <w:r>
            <w:rPr>
              <w:rFonts w:ascii="Arial" w:eastAsia="Arial" w:hAnsi="Arial" w:cs="Arial"/>
              <w:b/>
              <w:color w:val="000000"/>
              <w:sz w:val="14"/>
              <w:szCs w:val="14"/>
            </w:rPr>
            <w:fldChar w:fldCharType="begin"/>
          </w:r>
          <w:r>
            <w:rPr>
              <w:rFonts w:ascii="Arial" w:eastAsia="Arial" w:hAnsi="Arial" w:cs="Arial"/>
              <w:b/>
              <w:color w:val="000000"/>
              <w:sz w:val="14"/>
              <w:szCs w:val="14"/>
            </w:rPr>
            <w:instrText>PAGE</w:instrText>
          </w:r>
          <w:r>
            <w:rPr>
              <w:rFonts w:ascii="Arial" w:eastAsia="Arial" w:hAnsi="Arial" w:cs="Arial"/>
              <w:b/>
              <w:color w:val="000000"/>
              <w:sz w:val="14"/>
              <w:szCs w:val="14"/>
            </w:rPr>
            <w:fldChar w:fldCharType="separate"/>
          </w:r>
          <w:r>
            <w:rPr>
              <w:rFonts w:ascii="Arial" w:eastAsia="Arial" w:hAnsi="Arial" w:cs="Arial"/>
              <w:b/>
              <w:color w:val="000000"/>
              <w:sz w:val="14"/>
              <w:szCs w:val="14"/>
            </w:rPr>
            <w:t>8</w:t>
          </w:r>
          <w:r>
            <w:rPr>
              <w:rFonts w:ascii="Arial" w:eastAsia="Arial" w:hAnsi="Arial" w:cs="Arial"/>
              <w:b/>
              <w:color w:val="000000"/>
              <w:sz w:val="14"/>
              <w:szCs w:val="14"/>
            </w:rPr>
            <w:fldChar w:fldCharType="end"/>
          </w:r>
          <w:r>
            <w:rPr>
              <w:rFonts w:ascii="Arial" w:eastAsia="Arial" w:hAnsi="Arial" w:cs="Arial"/>
              <w:b/>
              <w:color w:val="000000"/>
              <w:sz w:val="14"/>
              <w:szCs w:val="14"/>
            </w:rPr>
            <w:t xml:space="preserve"> de </w:t>
          </w:r>
          <w:r>
            <w:rPr>
              <w:rFonts w:ascii="Arial" w:eastAsia="Arial" w:hAnsi="Arial" w:cs="Arial"/>
              <w:b/>
              <w:color w:val="000000"/>
              <w:sz w:val="14"/>
              <w:szCs w:val="14"/>
            </w:rPr>
            <w:fldChar w:fldCharType="begin"/>
          </w:r>
          <w:r>
            <w:rPr>
              <w:rFonts w:ascii="Arial" w:eastAsia="Arial" w:hAnsi="Arial" w:cs="Arial"/>
              <w:b/>
              <w:color w:val="000000"/>
              <w:sz w:val="14"/>
              <w:szCs w:val="14"/>
            </w:rPr>
            <w:instrText>NUMPAGES</w:instrText>
          </w:r>
          <w:r>
            <w:rPr>
              <w:rFonts w:ascii="Arial" w:eastAsia="Arial" w:hAnsi="Arial" w:cs="Arial"/>
              <w:b/>
              <w:color w:val="000000"/>
              <w:sz w:val="14"/>
              <w:szCs w:val="14"/>
            </w:rPr>
            <w:fldChar w:fldCharType="separate"/>
          </w:r>
          <w:r>
            <w:rPr>
              <w:rFonts w:ascii="Arial" w:eastAsia="Arial" w:hAnsi="Arial" w:cs="Arial"/>
              <w:b/>
              <w:color w:val="000000"/>
              <w:sz w:val="14"/>
              <w:szCs w:val="14"/>
            </w:rPr>
            <w:t>40</w:t>
          </w:r>
          <w:r>
            <w:rPr>
              <w:rFonts w:ascii="Arial" w:eastAsia="Arial" w:hAnsi="Arial" w:cs="Arial"/>
              <w:b/>
              <w:color w:val="000000"/>
              <w:sz w:val="14"/>
              <w:szCs w:val="14"/>
            </w:rPr>
            <w:fldChar w:fldCharType="end"/>
          </w:r>
        </w:p>
      </w:tc>
    </w:tr>
  </w:tbl>
  <w:p w14:paraId="564115D9" w14:textId="77777777" w:rsidR="00315997" w:rsidRDefault="00315997">
    <w:pPr>
      <w:pStyle w:val="Encabezado"/>
    </w:pPr>
  </w:p>
  <w:p w14:paraId="19F00990" w14:textId="77777777" w:rsidR="00315997" w:rsidRDefault="00315997">
    <w:pPr>
      <w:pStyle w:val="Encabezado"/>
    </w:pPr>
  </w:p>
  <w:p w14:paraId="28ABAA16" w14:textId="77777777" w:rsidR="00315997" w:rsidRDefault="00315997">
    <w:pPr>
      <w:pStyle w:val="Encabezado"/>
    </w:pPr>
  </w:p>
  <w:p w14:paraId="5CA8E07D" w14:textId="77777777" w:rsidR="00315997" w:rsidRDefault="00315997">
    <w:pPr>
      <w:pStyle w:val="Encabezado"/>
    </w:pPr>
  </w:p>
  <w:p w14:paraId="55B8F4B9" w14:textId="77777777" w:rsidR="00315997" w:rsidRDefault="00315997">
    <w:pPr>
      <w:pStyle w:val="Encabezado"/>
    </w:pPr>
  </w:p>
  <w:p w14:paraId="33914AD4" w14:textId="77777777" w:rsidR="00315997" w:rsidRDefault="00315997">
    <w:pPr>
      <w:pStyle w:val="Encabezado"/>
    </w:pPr>
  </w:p>
  <w:p w14:paraId="67F076E3" w14:textId="77777777" w:rsidR="00315997" w:rsidRDefault="0031599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12B1515"/>
    <w:rsid w:val="00020A98"/>
    <w:rsid w:val="00307593"/>
    <w:rsid w:val="00315997"/>
    <w:rsid w:val="00935621"/>
    <w:rsid w:val="00AE0350"/>
    <w:rsid w:val="01064F05"/>
    <w:rsid w:val="017137B2"/>
    <w:rsid w:val="26847937"/>
    <w:rsid w:val="2AAA3386"/>
    <w:rsid w:val="2F93020C"/>
    <w:rsid w:val="36894F05"/>
    <w:rsid w:val="412B1515"/>
    <w:rsid w:val="5D58493A"/>
    <w:rsid w:val="62EA5256"/>
    <w:rsid w:val="77B3663B"/>
    <w:rsid w:val="7DB13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00B917"/>
  <w15:docId w15:val="{7BAFA06C-D837-4B31-8DBC-22E7E96B5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qFormat/>
    <w:pPr>
      <w:tabs>
        <w:tab w:val="center" w:pos="4153"/>
        <w:tab w:val="right" w:pos="8306"/>
      </w:tabs>
    </w:pPr>
  </w:style>
  <w:style w:type="paragraph" w:styleId="NormalWeb">
    <w:name w:val="Normal (Web)"/>
    <w:qFormat/>
    <w:pPr>
      <w:spacing w:beforeAutospacing="1" w:afterAutospacing="1"/>
    </w:pPr>
    <w:rPr>
      <w:sz w:val="24"/>
      <w:szCs w:val="24"/>
      <w:lang w:val="en-US" w:eastAsia="zh-CN"/>
    </w:rPr>
  </w:style>
  <w:style w:type="paragraph" w:styleId="Piedepgina">
    <w:name w:val="footer"/>
    <w:basedOn w:val="Normal"/>
    <w:qFormat/>
    <w:pPr>
      <w:tabs>
        <w:tab w:val="center" w:pos="4153"/>
        <w:tab w:val="right" w:pos="8306"/>
      </w:tabs>
    </w:pPr>
  </w:style>
  <w:style w:type="paragraph" w:customStyle="1" w:styleId="Style6">
    <w:name w:val="_Style 6"/>
    <w:basedOn w:val="Normal"/>
    <w:next w:val="Normal"/>
    <w:qFormat/>
    <w:pPr>
      <w:pBdr>
        <w:bottom w:val="single" w:sz="6" w:space="1" w:color="auto"/>
      </w:pBdr>
      <w:jc w:val="center"/>
    </w:pPr>
    <w:rPr>
      <w:rFonts w:ascii="Arial" w:eastAsia="SimSun"/>
      <w:vanish/>
      <w:sz w:val="16"/>
    </w:rPr>
  </w:style>
  <w:style w:type="paragraph" w:customStyle="1" w:styleId="Style7">
    <w:name w:val="_Style 7"/>
    <w:basedOn w:val="Normal"/>
    <w:next w:val="Normal"/>
    <w:qFormat/>
    <w:pPr>
      <w:pBdr>
        <w:top w:val="single" w:sz="6" w:space="1" w:color="auto"/>
      </w:pBdr>
      <w:jc w:val="center"/>
    </w:pPr>
    <w:rPr>
      <w:rFonts w:ascii="Arial" w:eastAsia="SimSun"/>
      <w:vanish/>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757</Words>
  <Characters>4167</Characters>
  <Application>Microsoft Office Word</Application>
  <DocSecurity>0</DocSecurity>
  <Lines>34</Lines>
  <Paragraphs>9</Paragraphs>
  <ScaleCrop>false</ScaleCrop>
  <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carolina</dc:creator>
  <cp:lastModifiedBy>Fernando Diaz A</cp:lastModifiedBy>
  <cp:revision>5</cp:revision>
  <dcterms:created xsi:type="dcterms:W3CDTF">2026-05-07T23:59:00Z</dcterms:created>
  <dcterms:modified xsi:type="dcterms:W3CDTF">2026-06-22T18:56:00Z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3082-12.2.0.23202</vt:lpwstr>
  </property>
  <property fmtid="{D5CDD505-2E9C-101B-9397-08002B2CF9AE}" pid="3" name="ICV">
    <vt:lpwstr>428E7579F5EF47C0878B9F7B938821ED_13</vt:lpwstr>
  </property>
</Properties>
</file>